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ЗАКЛЮЧЕНИЕ</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О РЕЗУЛЬТАТАХ ПУБЛИЧНЫХ СЛУШАНИЙ</w:t>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проекта планировки и проекта межевания территории для размещения линейного объекта «Реконструкция участка автомобильной дороги «Подъезд к деревне Лаврики».</w:t>
      </w:r>
    </w:p>
    <w:tbl>
      <w:tblPr>
        <w:tblStyle w:val="Table1"/>
        <w:tblW w:w="963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190"/>
        <w:gridCol w:w="3190"/>
        <w:gridCol w:w="3259"/>
        <w:tblGridChange w:id="0">
          <w:tblGrid>
            <w:gridCol w:w="3190"/>
            <w:gridCol w:w="3190"/>
            <w:gridCol w:w="3259"/>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left w:w="28.0" w:type="dxa"/>
              <w:right w:w="28.0" w:type="dxa"/>
            </w:tcMar>
          </w:tcPr>
          <w:p w:rsidR="00000000" w:rsidDel="00000000" w:rsidP="00000000" w:rsidRDefault="00000000" w:rsidRPr="00000000" w14:paraId="00000004">
            <w:pPr>
              <w:tabs>
                <w:tab w:val="left" w:leader="none" w:pos="1985"/>
                <w:tab w:val="left" w:leader="none" w:pos="3261"/>
                <w:tab w:val="left" w:leader="none" w:pos="6237"/>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 ноября 2025 года</w:t>
            </w:r>
          </w:p>
        </w:tc>
        <w:tc>
          <w:tcPr>
            <w:tcBorders>
              <w:top w:color="000000" w:space="0" w:sz="0" w:val="nil"/>
              <w:left w:color="000000" w:space="0" w:sz="0" w:val="nil"/>
              <w:bottom w:color="000000" w:space="0" w:sz="0" w:val="nil"/>
              <w:right w:color="000000" w:space="0" w:sz="0" w:val="nil"/>
            </w:tcBorders>
            <w:tcMar>
              <w:left w:w="28.0" w:type="dxa"/>
              <w:right w:w="28.0" w:type="dxa"/>
            </w:tcMar>
          </w:tcPr>
          <w:p w:rsidR="00000000" w:rsidDel="00000000" w:rsidP="00000000" w:rsidRDefault="00000000" w:rsidRPr="00000000" w14:paraId="00000005">
            <w:pPr>
              <w:tabs>
                <w:tab w:val="left" w:leader="none" w:pos="1985"/>
                <w:tab w:val="left" w:leader="none" w:pos="3261"/>
                <w:tab w:val="left" w:leader="none" w:pos="6237"/>
              </w:tabs>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left w:w="28.0" w:type="dxa"/>
              <w:right w:w="28.0" w:type="dxa"/>
            </w:tcMar>
          </w:tcPr>
          <w:p w:rsidR="00000000" w:rsidDel="00000000" w:rsidP="00000000" w:rsidRDefault="00000000" w:rsidRPr="00000000" w14:paraId="00000006">
            <w:pPr>
              <w:tabs>
                <w:tab w:val="left" w:leader="none" w:pos="1985"/>
                <w:tab w:val="left" w:leader="none" w:pos="3261"/>
                <w:tab w:val="left" w:leader="none" w:pos="6237"/>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 Мурино</w:t>
            </w:r>
          </w:p>
        </w:tc>
      </w:tr>
    </w:tbl>
    <w:p w:rsidR="00000000" w:rsidDel="00000000" w:rsidP="00000000" w:rsidRDefault="00000000" w:rsidRPr="00000000" w14:paraId="00000007">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spacing w:after="0" w:line="240" w:lineRule="auto"/>
        <w:ind w:firstLine="708"/>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 соответствии с Градостроительным кодексом Российской Федерации, Федеральным законом от 29.12.2004 № 191-ФЗ «О введении в действие Градостроительного кодекса Российской Федерации», Положением о порядке организации и проведения публичных слушаний на территории муниципального образования «Муринское городское поселение» Всеволожского муниципального района Ленинградской области, утвержденным решением совета депутатов муниципального образования «Муринское городское поселение» Всеволожского муниципального района Ленинградской области от 28.10.2020 № 103 (в редакции решения совета депутатов от 13.04.2022 № 216), </w:t>
      </w:r>
      <w:r w:rsidDel="00000000" w:rsidR="00000000" w:rsidRPr="00000000">
        <w:rPr>
          <w:rFonts w:ascii="Times New Roman" w:cs="Times New Roman" w:eastAsia="Times New Roman" w:hAnsi="Times New Roman"/>
          <w:color w:val="000000"/>
          <w:sz w:val="28"/>
          <w:szCs w:val="28"/>
          <w:rtl w:val="0"/>
        </w:rPr>
        <w:t xml:space="preserve">на основании постановления главы муниципального образования «Муринское городское поселение» Всеволожского муниципального района Ленинградской области от 01.11.2025 № 15/01-03 «О назначении публичных слушаний по проекту планировки и проекту межевания территории для размещения линейного объекта «Реконструкция участка автомобильной дороги «Подъезд к деревне Лаврики».</w:t>
      </w:r>
    </w:p>
    <w:p w:rsidR="00000000" w:rsidDel="00000000" w:rsidP="00000000" w:rsidRDefault="00000000" w:rsidRPr="00000000" w14:paraId="00000009">
      <w:pPr>
        <w:spacing w:after="0" w:line="24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after="0" w:line="240" w:lineRule="auto"/>
        <w:ind w:firstLine="708"/>
        <w:jc w:val="both"/>
        <w:rPr>
          <w:rFonts w:ascii="Times New Roman" w:cs="Times New Roman" w:eastAsia="Times New Roman" w:hAnsi="Times New Roman"/>
          <w:sz w:val="28"/>
          <w:szCs w:val="28"/>
        </w:rPr>
      </w:pPr>
      <w:bookmarkStart w:colFirst="0" w:colLast="0" w:name="_heading=h.slqlc39y1qph" w:id="0"/>
      <w:bookmarkEnd w:id="0"/>
      <w:r w:rsidDel="00000000" w:rsidR="00000000" w:rsidRPr="00000000">
        <w:rPr>
          <w:rFonts w:ascii="Times New Roman" w:cs="Times New Roman" w:eastAsia="Times New Roman" w:hAnsi="Times New Roman"/>
          <w:b w:val="1"/>
          <w:bCs w:val="1"/>
          <w:sz w:val="28"/>
          <w:szCs w:val="28"/>
          <w:rtl w:val="0"/>
        </w:rPr>
        <w:t xml:space="preserve">Собрание участников публичных слушаний состоялось:</w:t>
      </w:r>
      <w:r w:rsidDel="00000000" w:rsidR="00000000" w:rsidRPr="00000000">
        <w:rPr>
          <w:rFonts w:ascii="Times New Roman" w:cs="Times New Roman" w:eastAsia="Times New Roman" w:hAnsi="Times New Roman"/>
          <w:sz w:val="28"/>
          <w:szCs w:val="28"/>
          <w:rtl w:val="0"/>
        </w:rPr>
        <w:t xml:space="preserve"> 19 ноября 2025 года в 15 часов 00 минут по адресу: Ленинградская область, Всеволожский район, г. Мурино, ул. Оборонная, д. 32-А, 2 этаж, кабинет 214 (конференц-зал).</w:t>
      </w:r>
    </w:p>
    <w:p w:rsidR="00000000" w:rsidDel="00000000" w:rsidP="00000000" w:rsidRDefault="00000000" w:rsidRPr="00000000" w14:paraId="0000000B">
      <w:pPr>
        <w:spacing w:after="0" w:line="24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after="0" w:line="240" w:lineRule="auto"/>
        <w:ind w:firstLine="709"/>
        <w:jc w:val="both"/>
        <w:rPr>
          <w:rFonts w:ascii="Times New Roman" w:cs="Times New Roman" w:eastAsia="Times New Roman" w:hAnsi="Times New Roman"/>
          <w:sz w:val="28"/>
          <w:szCs w:val="28"/>
        </w:rPr>
      </w:pPr>
      <w:bookmarkStart w:colFirst="0" w:colLast="0" w:name="_heading=h.dkwe11w3sz0s" w:id="1"/>
      <w:bookmarkEnd w:id="1"/>
      <w:r w:rsidDel="00000000" w:rsidR="00000000" w:rsidRPr="00000000">
        <w:rPr>
          <w:rFonts w:ascii="Times New Roman" w:cs="Times New Roman" w:eastAsia="Times New Roman" w:hAnsi="Times New Roman"/>
          <w:sz w:val="28"/>
          <w:szCs w:val="28"/>
          <w:rtl w:val="0"/>
        </w:rPr>
        <w:t xml:space="preserve">Экспозиция по вопросу публичных слушаний представлена по адресу: Ленинградская область, Всеволожский район, г. Мурино, ул. Оборонная, д. 32-А (здание администрации, 2-й этаж, холл) в период с 05 ноября 2025 года по 19 ноября 2025 года.</w:t>
      </w:r>
    </w:p>
    <w:p w:rsidR="00000000" w:rsidDel="00000000" w:rsidP="00000000" w:rsidRDefault="00000000" w:rsidRPr="00000000" w14:paraId="0000000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Сроки проведения публичных слушаний</w:t>
      </w:r>
      <w:r w:rsidDel="00000000" w:rsidR="00000000" w:rsidRPr="00000000">
        <w:rPr>
          <w:rFonts w:ascii="Times New Roman" w:cs="Times New Roman" w:eastAsia="Times New Roman" w:hAnsi="Times New Roman"/>
          <w:sz w:val="28"/>
          <w:szCs w:val="28"/>
          <w:rtl w:val="0"/>
        </w:rPr>
        <w:t xml:space="preserve"> по указанному вопросу:                             с 05 ноября 2025 года по 28 ноября 2025 года.</w:t>
      </w:r>
    </w:p>
    <w:p w:rsidR="00000000" w:rsidDel="00000000" w:rsidP="00000000" w:rsidRDefault="00000000" w:rsidRPr="00000000" w14:paraId="0000000E">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Повестка публичных слушаний:</w:t>
      </w:r>
      <w:r w:rsidDel="00000000" w:rsidR="00000000" w:rsidRPr="00000000">
        <w:rPr>
          <w:rFonts w:ascii="Times New Roman" w:cs="Times New Roman" w:eastAsia="Times New Roman" w:hAnsi="Times New Roman"/>
          <w:sz w:val="28"/>
          <w:szCs w:val="28"/>
          <w:rtl w:val="0"/>
        </w:rPr>
        <w:t xml:space="preserve"> рассмотрение проекта планировки и проекту межевания территории для размещения линейного объекта реконструкции участка автомобильной дороги подъезд к деревне Лаврики.</w:t>
      </w:r>
    </w:p>
    <w:p w:rsidR="00000000" w:rsidDel="00000000" w:rsidP="00000000" w:rsidRDefault="00000000" w:rsidRPr="00000000" w14:paraId="00000010">
      <w:pPr>
        <w:spacing w:after="0" w:line="240" w:lineRule="auto"/>
        <w:ind w:firstLine="709"/>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Реквизиты протокола публичных слушаний:</w:t>
      </w:r>
      <w:r w:rsidDel="00000000" w:rsidR="00000000" w:rsidRPr="00000000">
        <w:rPr>
          <w:rFonts w:ascii="Times New Roman" w:cs="Times New Roman" w:eastAsia="Times New Roman" w:hAnsi="Times New Roman"/>
          <w:sz w:val="28"/>
          <w:szCs w:val="28"/>
          <w:rtl w:val="0"/>
        </w:rPr>
        <w:t xml:space="preserve"> протокол проведения публичных слушаний по рассмотрению проекта планировки и проекта межевания территории для размещения линейного объекта реконструкции участка автомобильной дороги подъезд к деревне Лаврики, от 20 ноября 2025 года.</w:t>
      </w:r>
    </w:p>
    <w:p w:rsidR="00000000" w:rsidDel="00000000" w:rsidP="00000000" w:rsidRDefault="00000000" w:rsidRPr="00000000" w14:paraId="00000012">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pageBreakBefore w:val="1"/>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Присутствовали на собрании:</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члены Комиссии по проведению публичных слушаний по проекту планировки и проекту межевания территории для размещения линейного объекта реконструкции участка автомобильной дороги подъезд к деревне Лаврики;</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участники публичных слушаний в количестве 8 человек (зарегистрированы в журнале регистрации).</w:t>
      </w:r>
    </w:p>
    <w:p w:rsidR="00000000" w:rsidDel="00000000" w:rsidP="00000000" w:rsidRDefault="00000000" w:rsidRPr="00000000" w14:paraId="00000016">
      <w:pPr>
        <w:spacing w:after="0"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период проведения публичных слушаний в Комиссию по проведению публичных слушаний по проекту планировки и проекту межевания территории для размещения линейного объекта реконструкции участка автомобильной дороги подъезд к деревне Лаврики поступило 51 предложение.</w:t>
      </w:r>
    </w:p>
    <w:p w:rsidR="00000000" w:rsidDel="00000000" w:rsidP="00000000" w:rsidRDefault="00000000" w:rsidRPr="00000000" w14:paraId="00000017">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Аргументированные рекомендации комиссии о целесообразности или нецелесообразности учета внесенных участниками публичных слушаний предложений и замечаний оформлены приложением к настоящему заключению о результатах публичных слушаний.</w:t>
      </w:r>
    </w:p>
    <w:p w:rsidR="00000000" w:rsidDel="00000000" w:rsidP="00000000" w:rsidRDefault="00000000" w:rsidRPr="00000000" w14:paraId="00000018">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Публичные слушания по проекту планировки и проекту межевания территории для размещения линейного объекта реконструкции участка автомобильной дороги подъезд к деревне Лаврики, проведены в соответствии с законодательством и признаны состоявшимися.</w:t>
      </w:r>
    </w:p>
    <w:p w:rsidR="00000000" w:rsidDel="00000000" w:rsidP="00000000" w:rsidRDefault="00000000" w:rsidRPr="00000000" w14:paraId="00000019">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По итогам заседания Комиссией по проведению публичных слушаний рекомендовано администрации муниципального образования «Муринское городское поселение» Всеволожского муниципального района Ленинградской области направить проект планировки и проект межевания территории для размещения линейного объекта «Реконструкция участка автомобильной дороги «Подъезд к деревне Лаврики» на доработку с учетом поступивших предложений (замечаний) участников публичных слушаний,</w:t>
      </w:r>
      <w:r w:rsidDel="00000000" w:rsidR="00000000" w:rsidRPr="00000000">
        <w:rPr>
          <w:color w:val="000000"/>
          <w:rtl w:val="0"/>
        </w:rPr>
        <w:t xml:space="preserve"> </w:t>
      </w:r>
      <w:r w:rsidDel="00000000" w:rsidR="00000000" w:rsidRPr="00000000">
        <w:rPr>
          <w:rFonts w:ascii="Times New Roman" w:cs="Times New Roman" w:eastAsia="Times New Roman" w:hAnsi="Times New Roman"/>
          <w:color w:val="000000"/>
          <w:sz w:val="28"/>
          <w:szCs w:val="28"/>
          <w:rtl w:val="0"/>
        </w:rPr>
        <w:t xml:space="preserve">признанных целесообразными.</w:t>
      </w:r>
    </w:p>
    <w:p w:rsidR="00000000" w:rsidDel="00000000" w:rsidP="00000000" w:rsidRDefault="00000000" w:rsidRPr="00000000" w14:paraId="0000001A">
      <w:pPr>
        <w:widowControl w:val="0"/>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widowControl w:val="0"/>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tbl>
      <w:tblPr>
        <w:tblStyle w:val="Table2"/>
        <w:tblW w:w="963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23"/>
        <w:gridCol w:w="1862"/>
        <w:gridCol w:w="3354"/>
        <w:tblGridChange w:id="0">
          <w:tblGrid>
            <w:gridCol w:w="4423"/>
            <w:gridCol w:w="1862"/>
            <w:gridCol w:w="3354"/>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left w:w="28.0" w:type="dxa"/>
              <w:right w:w="28.0" w:type="dxa"/>
            </w:tcMar>
          </w:tcPr>
          <w:p w:rsidR="00000000" w:rsidDel="00000000" w:rsidP="00000000" w:rsidRDefault="00000000" w:rsidRPr="00000000" w14:paraId="0000001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Председатель комиссии </w:t>
            </w:r>
          </w:p>
          <w:p w:rsidR="00000000" w:rsidDel="00000000" w:rsidP="00000000" w:rsidRDefault="00000000" w:rsidRPr="00000000" w14:paraId="0000001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проведению публичных </w:t>
            </w:r>
          </w:p>
          <w:p w:rsidR="00000000" w:rsidDel="00000000" w:rsidP="00000000" w:rsidRDefault="00000000" w:rsidRPr="00000000" w14:paraId="0000001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слушаний </w:t>
            </w:r>
          </w:p>
        </w:tc>
        <w:tc>
          <w:tcPr>
            <w:tcBorders>
              <w:top w:color="000000" w:space="0" w:sz="0" w:val="nil"/>
              <w:left w:color="000000" w:space="0" w:sz="0" w:val="nil"/>
              <w:bottom w:color="000000" w:space="0" w:sz="0" w:val="nil"/>
              <w:right w:color="000000" w:space="0" w:sz="0" w:val="nil"/>
            </w:tcBorders>
            <w:tcMar>
              <w:left w:w="28.0" w:type="dxa"/>
              <w:right w:w="28.0" w:type="dxa"/>
            </w:tcMar>
          </w:tcPr>
          <w:p w:rsidR="00000000" w:rsidDel="00000000" w:rsidP="00000000" w:rsidRDefault="00000000" w:rsidRPr="00000000" w14:paraId="0000001F">
            <w:pPr>
              <w:tabs>
                <w:tab w:val="left" w:leader="none" w:pos="1985"/>
                <w:tab w:val="left" w:leader="none" w:pos="3261"/>
                <w:tab w:val="left" w:leader="none" w:pos="6237"/>
              </w:tabs>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left w:w="28.0" w:type="dxa"/>
              <w:right w:w="28.0" w:type="dxa"/>
            </w:tcMar>
            <w:vAlign w:val="bottom"/>
          </w:tcPr>
          <w:p w:rsidR="00000000" w:rsidDel="00000000" w:rsidP="00000000" w:rsidRDefault="00000000" w:rsidRPr="00000000" w14:paraId="00000020">
            <w:pPr>
              <w:tabs>
                <w:tab w:val="left" w:leader="none" w:pos="1985"/>
                <w:tab w:val="left" w:leader="none" w:pos="3261"/>
                <w:tab w:val="left" w:leader="none" w:pos="6237"/>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 Кожокару</w:t>
            </w:r>
          </w:p>
        </w:tc>
      </w:tr>
    </w:tbl>
    <w:p w:rsidR="00000000" w:rsidDel="00000000" w:rsidP="00000000" w:rsidRDefault="00000000" w:rsidRPr="00000000" w14:paraId="00000021">
      <w:pPr>
        <w:rPr/>
        <w:sectPr>
          <w:footerReference r:id="rId7" w:type="default"/>
          <w:footerReference r:id="rId8" w:type="first"/>
          <w:pgSz w:h="16838" w:w="11906" w:orient="portrait"/>
          <w:pgMar w:bottom="851" w:top="851" w:left="1701" w:right="567" w:header="709" w:footer="709"/>
          <w:pgNumType w:start="1"/>
          <w:titlePg w:val="1"/>
        </w:sect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1512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0490"/>
        <w:gridCol w:w="4636"/>
        <w:tblGridChange w:id="0">
          <w:tblGrid>
            <w:gridCol w:w="10490"/>
            <w:gridCol w:w="4636"/>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3">
            <w:pPr>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заключению о результатах публичных слушаний по проекту планировки и проекту межевания территории для размещения линейного объекта «Реконструкция участка автомобильной дороги «Подъезд к деревне Лаврики»</w:t>
            </w:r>
          </w:p>
        </w:tc>
      </w:tr>
    </w:tbl>
    <w:p w:rsidR="00000000" w:rsidDel="00000000" w:rsidP="00000000" w:rsidRDefault="00000000" w:rsidRPr="00000000" w14:paraId="00000026">
      <w:pPr>
        <w:spacing w:after="0" w:line="240" w:lineRule="auto"/>
        <w:ind w:firstLine="567"/>
        <w:jc w:val="both"/>
        <w:rPr/>
      </w:pPr>
      <w:r w:rsidDel="00000000" w:rsidR="00000000" w:rsidRPr="00000000">
        <w:rPr>
          <w:rtl w:val="0"/>
        </w:rPr>
      </w:r>
    </w:p>
    <w:p w:rsidR="00000000" w:rsidDel="00000000" w:rsidP="00000000" w:rsidRDefault="00000000" w:rsidRPr="00000000" w14:paraId="00000027">
      <w:pPr>
        <w:spacing w:after="0" w:line="240" w:lineRule="auto"/>
        <w:ind w:firstLine="567"/>
        <w:jc w:val="both"/>
        <w:rPr/>
      </w:pPr>
      <w:r w:rsidDel="00000000" w:rsidR="00000000" w:rsidRPr="00000000">
        <w:rPr>
          <w:rtl w:val="0"/>
        </w:rPr>
      </w:r>
    </w:p>
    <w:tbl>
      <w:tblPr>
        <w:tblStyle w:val="Table4"/>
        <w:tblW w:w="1558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10206"/>
        <w:gridCol w:w="4394"/>
        <w:tblGridChange w:id="0">
          <w:tblGrid>
            <w:gridCol w:w="988"/>
            <w:gridCol w:w="10206"/>
            <w:gridCol w:w="4394"/>
          </w:tblGrid>
        </w:tblGridChange>
      </w:tblGrid>
      <w:tr>
        <w:trPr>
          <w:cantSplit w:val="0"/>
          <w:tblHeader w:val="0"/>
        </w:trPr>
        <w:tc>
          <w:tcPr/>
          <w:p w:rsidR="00000000" w:rsidDel="00000000" w:rsidP="00000000" w:rsidRDefault="00000000" w:rsidRPr="00000000" w14:paraId="00000028">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029">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п/п</w:t>
            </w:r>
          </w:p>
        </w:tc>
        <w:tc>
          <w:tcPr/>
          <w:p w:rsidR="00000000" w:rsidDel="00000000" w:rsidP="00000000" w:rsidRDefault="00000000" w:rsidRPr="00000000" w14:paraId="0000002A">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Содержание предложения/замечания</w:t>
            </w:r>
          </w:p>
        </w:tc>
        <w:tc>
          <w:tcPr/>
          <w:p w:rsidR="00000000" w:rsidDel="00000000" w:rsidP="00000000" w:rsidRDefault="00000000" w:rsidRPr="00000000" w14:paraId="0000002B">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Решение комиссии о целесообразности/нецелесообразности принятия предложения/замечания</w:t>
            </w:r>
          </w:p>
        </w:tc>
      </w:tr>
      <w:tr>
        <w:trPr>
          <w:cantSplit w:val="0"/>
          <w:tblHeader w:val="0"/>
        </w:trPr>
        <w:tc>
          <w:tcPr/>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получено согласие собственника на раздел земельного участка с кадастровым номером 47:07:0722001:121</w:t>
            </w:r>
          </w:p>
        </w:tc>
        <w:tc>
          <w:tcPr/>
          <w:p w:rsidR="00000000" w:rsidDel="00000000" w:rsidP="00000000" w:rsidRDefault="00000000" w:rsidRPr="00000000" w14:paraId="0000002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реконструкции сетей  ДПТ предусмотрено частично в границах участка с кадастровым номером 47:07:0722001:121, а так же в границах нагорной канавы, осуществляющей водоотведение с площадки электродепо «Северное»</w:t>
            </w:r>
          </w:p>
        </w:tc>
        <w:tc>
          <w:tcPr/>
          <w:p w:rsidR="00000000" w:rsidDel="00000000" w:rsidP="00000000" w:rsidRDefault="00000000" w:rsidRPr="00000000" w14:paraId="0000003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представляется возможным оценить мероприятия по сохранению водоотведения с площадки электродепо «Северное» </w:t>
            </w:r>
          </w:p>
        </w:tc>
        <w:tc>
          <w:tcPr/>
          <w:p w:rsidR="00000000" w:rsidDel="00000000" w:rsidP="00000000" w:rsidRDefault="00000000" w:rsidRPr="00000000" w14:paraId="0000003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дополнить представленные материалы  сведениями, позволяющими оценить мероприятия</w:t>
            </w:r>
          </w:p>
        </w:tc>
      </w:tr>
      <w:tr>
        <w:trPr>
          <w:cantSplit w:val="0"/>
          <w:tblHeader w:val="0"/>
        </w:trPr>
        <w:tc>
          <w:tcPr/>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предусмотрено выполнение благоустройства в отношении основного проезда к электродепо «Северное» в границах участков с кадастровыми номерами 47:07:071220:1 и 47:07:0712001:8</w:t>
            </w:r>
          </w:p>
        </w:tc>
        <w:tc>
          <w:tcPr/>
          <w:p w:rsidR="00000000" w:rsidDel="00000000" w:rsidP="00000000" w:rsidRDefault="00000000" w:rsidRPr="00000000" w14:paraId="0000003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Представленная ДПТ не была предварительно согласована с ГУП «Петербургский Метрополитен»</w:t>
            </w:r>
          </w:p>
        </w:tc>
        <w:tc>
          <w:tcPr/>
          <w:p w:rsidR="00000000" w:rsidDel="00000000" w:rsidP="00000000" w:rsidRDefault="00000000" w:rsidRPr="00000000" w14:paraId="0000003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Реконструкция ул. Шоссе в Лаврики может привести к неблагоприятный последствиям в части осуществления перевозочного процесса ГУП «Петербургский Метрополитен»</w:t>
            </w:r>
          </w:p>
        </w:tc>
        <w:tc>
          <w:tcPr/>
          <w:p w:rsidR="00000000" w:rsidDel="00000000" w:rsidP="00000000" w:rsidRDefault="00000000" w:rsidRPr="00000000" w14:paraId="0000003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Исключить мероприятия по разделу участка с кадастровым номером 47:07:0722001:121</w:t>
            </w:r>
          </w:p>
        </w:tc>
        <w:tc>
          <w:tcPr/>
          <w:p w:rsidR="00000000" w:rsidDel="00000000" w:rsidP="00000000" w:rsidRDefault="00000000" w:rsidRPr="00000000" w14:paraId="0000004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Признать целесообразным</w:t>
            </w:r>
          </w:p>
        </w:tc>
      </w:tr>
      <w:tr>
        <w:trPr>
          <w:cantSplit w:val="0"/>
          <w:tblHeader w:val="0"/>
        </w:trPr>
        <w:tc>
          <w:tcPr/>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Исключить из границ земельного участка с кадастровым номером 47:07:0722001:121 планируемые к размещению линейные объекты</w:t>
            </w:r>
          </w:p>
        </w:tc>
        <w:tc>
          <w:tcPr/>
          <w:p w:rsidR="00000000" w:rsidDel="00000000" w:rsidP="00000000" w:rsidRDefault="00000000" w:rsidRPr="00000000" w14:paraId="0000004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Признать целесообразным</w:t>
            </w:r>
          </w:p>
        </w:tc>
      </w:tr>
      <w:tr>
        <w:trPr>
          <w:cantSplit w:val="0"/>
          <w:tblHeader w:val="0"/>
        </w:trPr>
        <w:tc>
          <w:tcPr/>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тротуары с выделенными велодорожками</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рекомендовать проектной организации рассмотреть возможность реализации  </w:t>
            </w:r>
          </w:p>
        </w:tc>
      </w:tr>
      <w:tr>
        <w:trPr>
          <w:cantSplit w:val="0"/>
          <w:tblHeader w:val="0"/>
        </w:trPr>
        <w:tc>
          <w:tcPr/>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мероприятия по исключению брызг со стороны трассы на пешеходов</w:t>
            </w:r>
          </w:p>
        </w:tc>
        <w:tc>
          <w:tcPr/>
          <w:p w:rsidR="00000000" w:rsidDel="00000000" w:rsidP="00000000" w:rsidRDefault="00000000" w:rsidRPr="00000000" w14:paraId="0000004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3 полосы со средним реверсивным движением</w:t>
            </w:r>
          </w:p>
        </w:tc>
        <w:tc>
          <w:tcPr/>
          <w:p w:rsidR="00000000" w:rsidDel="00000000" w:rsidP="00000000" w:rsidRDefault="00000000" w:rsidRPr="00000000" w14:paraId="0000004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рассмотреть (проработать) </w:t>
            </w:r>
          </w:p>
        </w:tc>
      </w:tr>
      <w:tr>
        <w:trPr>
          <w:cantSplit w:val="0"/>
          <w:tblHeader w:val="0"/>
        </w:trPr>
        <w:tc>
          <w:tcPr/>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«лежачие полицейские» и светофоры</w:t>
            </w:r>
          </w:p>
        </w:tc>
        <w:tc>
          <w:tcPr/>
          <w:p w:rsidR="00000000" w:rsidDel="00000000" w:rsidP="00000000" w:rsidRDefault="00000000" w:rsidRPr="00000000" w14:paraId="0000005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рекомендовать проектной организации отразить в пояснительной записке предлагаемые мероприятия</w:t>
            </w:r>
          </w:p>
        </w:tc>
      </w:tr>
      <w:tr>
        <w:trPr>
          <w:cantSplit w:val="0"/>
          <w:tblHeader w:val="0"/>
        </w:trPr>
        <w:tc>
          <w:tcPr/>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подсветку навесную для пешеходных переходов</w:t>
            </w:r>
          </w:p>
        </w:tc>
        <w:tc>
          <w:tcPr/>
          <w:p w:rsidR="00000000" w:rsidDel="00000000" w:rsidP="00000000" w:rsidRDefault="00000000" w:rsidRPr="00000000" w14:paraId="0000005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будет рассмотрен при разработке проектной и рабочей документации</w:t>
            </w:r>
          </w:p>
        </w:tc>
      </w:tr>
      <w:tr>
        <w:trPr>
          <w:cantSplit w:val="0"/>
          <w:tblHeader w:val="0"/>
        </w:trPr>
        <w:tc>
          <w:tcPr/>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пандусы у пешеходных переходов, съездах и остановках</w:t>
            </w:r>
          </w:p>
        </w:tc>
        <w:tc>
          <w:tcPr/>
          <w:p w:rsidR="00000000" w:rsidDel="00000000" w:rsidP="00000000" w:rsidRDefault="00000000" w:rsidRPr="00000000" w14:paraId="0000005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вопрос относится к разработке проектной и рабочей документации</w:t>
            </w:r>
          </w:p>
        </w:tc>
      </w:tr>
      <w:tr>
        <w:trPr>
          <w:cantSplit w:val="0"/>
          <w:tblHeader w:val="0"/>
        </w:trPr>
        <w:tc>
          <w:tcPr/>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мусорки вдоль тротуара</w:t>
            </w:r>
          </w:p>
        </w:tc>
        <w:tc>
          <w:tcPr/>
          <w:p w:rsidR="00000000" w:rsidDel="00000000" w:rsidP="00000000" w:rsidRDefault="00000000" w:rsidRPr="00000000" w14:paraId="0000005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вопрос относится к разработке проектной и рабочей документации</w:t>
            </w:r>
          </w:p>
        </w:tc>
      </w:tr>
      <w:tr>
        <w:trPr>
          <w:cantSplit w:val="0"/>
          <w:tblHeader w:val="0"/>
        </w:trPr>
        <w:tc>
          <w:tcPr/>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дорожное полотно повышенной прочности</w:t>
            </w:r>
          </w:p>
        </w:tc>
        <w:tc>
          <w:tcPr/>
          <w:p w:rsidR="00000000" w:rsidDel="00000000" w:rsidP="00000000" w:rsidRDefault="00000000" w:rsidRPr="00000000" w14:paraId="0000005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вопрос относится к разработке проектной и рабочей документации</w:t>
            </w:r>
          </w:p>
        </w:tc>
      </w:tr>
      <w:tr>
        <w:trPr>
          <w:cantSplit w:val="0"/>
          <w:tblHeader w:val="0"/>
        </w:trPr>
        <w:tc>
          <w:tcPr/>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ливневую канализацию</w:t>
            </w:r>
          </w:p>
        </w:tc>
        <w:tc>
          <w:tcPr/>
          <w:p w:rsidR="00000000" w:rsidDel="00000000" w:rsidP="00000000" w:rsidRDefault="00000000" w:rsidRPr="00000000" w14:paraId="0000005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Учтено при разработке документации проекта планировки территории</w:t>
            </w:r>
          </w:p>
        </w:tc>
      </w:tr>
      <w:tr>
        <w:trPr>
          <w:cantSplit w:val="0"/>
          <w:tblHeader w:val="0"/>
        </w:trPr>
        <w:tc>
          <w:tcPr/>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Предложенный к обсуждению проект не направлен на обеспечение устойчивого развития территории городского поселения, развития транспортной и социальной инфраструктур, а так же не обеспечивает учет интересов граждан МО, в нарушении ст.9 и ст. 41 ГрК РФ</w:t>
            </w:r>
          </w:p>
        </w:tc>
        <w:tc>
          <w:tcPr/>
          <w:p w:rsidR="00000000" w:rsidDel="00000000" w:rsidP="00000000" w:rsidRDefault="00000000" w:rsidRPr="00000000" w14:paraId="0000006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Границы территории, планируемой к изъятию проведены без попытки минимизировать подлежащую изъятию часть</w:t>
            </w:r>
          </w:p>
        </w:tc>
        <w:tc>
          <w:tcPr/>
          <w:p w:rsidR="00000000" w:rsidDel="00000000" w:rsidP="00000000" w:rsidRDefault="00000000" w:rsidRPr="00000000" w14:paraId="0000006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рекомендовать проектной организации рассмотреть возможность минимизировать подлежащую изъятию часть</w:t>
            </w:r>
          </w:p>
        </w:tc>
      </w:tr>
      <w:tr>
        <w:trPr>
          <w:cantSplit w:val="0"/>
          <w:tblHeader w:val="0"/>
        </w:trPr>
        <w:tc>
          <w:tcPr/>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Рассмотреть иные варианты расширения проезжей части, для минимизирования площади изъятия участков, а именно земельного участка с кадастровым номером 47:07:0712001:8</w:t>
            </w:r>
          </w:p>
        </w:tc>
        <w:tc>
          <w:tcPr/>
          <w:p w:rsidR="00000000" w:rsidDel="00000000" w:rsidP="00000000" w:rsidRDefault="00000000" w:rsidRPr="00000000" w14:paraId="0000006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Признать целесообразным</w:t>
            </w:r>
          </w:p>
        </w:tc>
      </w:tr>
      <w:tr>
        <w:trPr>
          <w:cantSplit w:val="0"/>
          <w:tblHeader w:val="0"/>
        </w:trPr>
        <w:tc>
          <w:tcPr/>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Разместить ЛОСы за границами земельного участка кадастровым номером 47:07:0712001:8</w:t>
            </w:r>
          </w:p>
        </w:tc>
        <w:tc>
          <w:tcPr/>
          <w:p w:rsidR="00000000" w:rsidDel="00000000" w:rsidP="00000000" w:rsidRDefault="00000000" w:rsidRPr="00000000" w14:paraId="0000006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рассмотреть возможность</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размещения ЛОСов за границами земельного участка кадастровым номером 47:07:0712001:8</w:t>
            </w:r>
          </w:p>
        </w:tc>
      </w:tr>
      <w:tr>
        <w:trPr>
          <w:cantSplit w:val="0"/>
          <w:tblHeader w:val="0"/>
        </w:trPr>
        <w:tc>
          <w:tcPr/>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Рассмотреть иные варианты обеспечения выезда с территории дер. Лаврики, без использования внутренней дорожной сети городского поселения Мурино</w:t>
            </w:r>
          </w:p>
        </w:tc>
        <w:tc>
          <w:tcPr/>
          <w:p w:rsidR="00000000" w:rsidDel="00000000" w:rsidP="00000000" w:rsidRDefault="00000000" w:rsidRPr="00000000" w14:paraId="0000006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Рассмотреть целесообразность врезки в существующий газопровод на глубине 9м, когда можно рассмотреть уже работающий вариант прокладки газовых труб.</w:t>
            </w:r>
          </w:p>
        </w:tc>
        <w:tc>
          <w:tcPr/>
          <w:p w:rsidR="00000000" w:rsidDel="00000000" w:rsidP="00000000" w:rsidRDefault="00000000" w:rsidRPr="00000000" w14:paraId="0000007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Представленные проектные решения влекут за собой негативные последствия:</w:t>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существенная утрата рыночной стоимости земельного участка с кадастровым номером 47:07:0712001:1;</w:t>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невозможность реализации на земельном участке объекта капстроительства площадью 7000 кв.м.;</w:t>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нарушение прав и интересов инвесторов, осуществивших финансирование строительства;</w:t>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причинение ущерба деловой репутации, в связи со срывом обязательств по реализации проекта</w:t>
            </w:r>
          </w:p>
        </w:tc>
        <w:tc>
          <w:tcPr/>
          <w:p w:rsidR="00000000" w:rsidDel="00000000" w:rsidP="00000000" w:rsidRDefault="00000000" w:rsidRPr="00000000" w14:paraId="0000007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Материалы ДПТ не демонстрируют проработку альтернатив вмешательств в границы земельного участка с кадастровым номером 47:07:0712001:1.</w:t>
            </w:r>
          </w:p>
        </w:tc>
        <w:tc>
          <w:tcPr/>
          <w:p w:rsidR="00000000" w:rsidDel="00000000" w:rsidP="00000000" w:rsidRDefault="00000000" w:rsidRPr="00000000" w14:paraId="0000007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Нецелесообразно отклонение на участке дороги, прилегающему к земельному участку с кадастровым номером 47:07:0712001:1 от параметров, предусмотренных генеральным планом поселения</w:t>
            </w:r>
          </w:p>
        </w:tc>
        <w:tc>
          <w:tcPr/>
          <w:p w:rsidR="00000000" w:rsidDel="00000000" w:rsidP="00000000" w:rsidRDefault="00000000" w:rsidRPr="00000000" w14:paraId="0000007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параметры дороги не предмет регулирования генерального плана поселения</w:t>
            </w:r>
          </w:p>
        </w:tc>
      </w:tr>
      <w:tr>
        <w:trPr>
          <w:cantSplit w:val="0"/>
          <w:tblHeader w:val="0"/>
        </w:trPr>
        <w:tc>
          <w:tcPr/>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Отказать в утверждении ДПТ</w:t>
            </w:r>
          </w:p>
        </w:tc>
        <w:tc>
          <w:tcPr/>
          <w:p w:rsidR="00000000" w:rsidDel="00000000" w:rsidP="00000000" w:rsidRDefault="00000000" w:rsidRPr="00000000" w14:paraId="0000008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целесообразно</w:t>
            </w:r>
          </w:p>
        </w:tc>
      </w:tr>
      <w:tr>
        <w:trPr>
          <w:cantSplit w:val="0"/>
          <w:tblHeader w:val="0"/>
        </w:trPr>
        <w:tc>
          <w:tcPr/>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Обязать разработчика проработать альтернативные проектные решения, исключающие возможность изъятия земельного участка с кадастровым номером 47:07:0712001:1, а также обязать согласовать разработчика с собственником земельного участка все принятые решения.</w:t>
            </w:r>
          </w:p>
        </w:tc>
        <w:tc>
          <w:tcPr/>
          <w:p w:rsidR="00000000" w:rsidDel="00000000" w:rsidP="00000000" w:rsidRDefault="00000000" w:rsidRPr="00000000" w14:paraId="0000008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Целесообразно признать в части</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проработки альтернативных проектных решений </w:t>
            </w:r>
          </w:p>
        </w:tc>
      </w:tr>
      <w:tr>
        <w:trPr>
          <w:cantSplit w:val="0"/>
          <w:tblHeader w:val="0"/>
        </w:trPr>
        <w:tc>
          <w:tcPr/>
          <w:p w:rsidR="00000000" w:rsidDel="00000000" w:rsidP="00000000" w:rsidRDefault="00000000" w:rsidRPr="00000000" w14:paraId="000000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разработке ДПТ учесть планируемое размещение ТЦ площадью 7000 кв.м.</w:t>
            </w:r>
          </w:p>
        </w:tc>
        <w:tc>
          <w:tcPr/>
          <w:p w:rsidR="00000000" w:rsidDel="00000000" w:rsidP="00000000" w:rsidRDefault="00000000" w:rsidRPr="00000000" w14:paraId="0000008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расширения дорожного полотна правообладатель земельного участка с кадастровым номером 47:07:0712001:1 готов предоставить коридор шириной не более 4х метров вдоль границы земельного участка, без изъятия территории (сервитут), при этом равноценно возместить стоимость пользования частью земельного участка</w:t>
            </w:r>
          </w:p>
        </w:tc>
        <w:tc>
          <w:tcPr/>
          <w:p w:rsidR="00000000" w:rsidDel="00000000" w:rsidP="00000000" w:rsidRDefault="00000000" w:rsidRPr="00000000" w14:paraId="0000008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целесообразно</w:t>
            </w:r>
          </w:p>
        </w:tc>
      </w:tr>
      <w:tr>
        <w:trPr>
          <w:cantSplit w:val="0"/>
          <w:tblHeader w:val="0"/>
        </w:trPr>
        <w:tc>
          <w:tcPr/>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возможность организации левого поворота на проезд к электродепо «Северное», в западной части земельного участка с кадастровым номером 47:07:0712001:1</w:t>
            </w:r>
          </w:p>
        </w:tc>
        <w:tc>
          <w:tcPr/>
          <w:p w:rsidR="00000000" w:rsidDel="00000000" w:rsidP="00000000" w:rsidRDefault="00000000" w:rsidRPr="00000000" w14:paraId="0000008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Исправить информацию о правообладателе земельного участка с кадастровым номером 47:07:0712001:1 (указать правообладателя)</w:t>
            </w:r>
          </w:p>
        </w:tc>
        <w:tc>
          <w:tcPr/>
          <w:p w:rsidR="00000000" w:rsidDel="00000000" w:rsidP="00000000" w:rsidRDefault="00000000" w:rsidRPr="00000000" w14:paraId="0000009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 рекомендовать проектной организации дополнить представленные материалы  сведениями о правообладателе земельного участка с кадастровым номером 47:07:0712001:1 (форма собственности)</w:t>
            </w:r>
          </w:p>
        </w:tc>
      </w:tr>
      <w:tr>
        <w:trPr>
          <w:cantSplit w:val="0"/>
          <w:tblHeader w:val="0"/>
        </w:trPr>
        <w:tc>
          <w:tcPr/>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Любые несогласованные с правообладателем земельного участка с кадастровым номером 47:07:0712001:1 действия будут расцениваться как фактическое изъятие части земельного участка, влекущее за собой право на взыскание в полном объеме всех убытков.</w:t>
            </w:r>
          </w:p>
        </w:tc>
        <w:tc>
          <w:tcPr/>
          <w:p w:rsidR="00000000" w:rsidDel="00000000" w:rsidP="00000000" w:rsidRDefault="00000000" w:rsidRPr="00000000" w14:paraId="0000009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учтено мостовое сооружение через Лесной ручей</w:t>
            </w:r>
          </w:p>
        </w:tc>
        <w:tc>
          <w:tcPr/>
          <w:p w:rsidR="00000000" w:rsidDel="00000000" w:rsidP="00000000" w:rsidRDefault="00000000" w:rsidRPr="00000000" w14:paraId="0000009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дополнить представленные материалы  сведениями о мостовом сооружении через Лесной ручей</w:t>
            </w:r>
          </w:p>
        </w:tc>
      </w:tr>
      <w:tr>
        <w:trPr>
          <w:cantSplit w:val="0"/>
          <w:tblHeader w:val="0"/>
        </w:trPr>
        <w:tc>
          <w:tcPr/>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учтена возможность перераспределения пешеходных потоков (номера точек по ДПТ н65-н68), а так же мероприятия по организации дорожного движения и пешеходных потоков на прилегающих территориях</w:t>
            </w:r>
          </w:p>
        </w:tc>
        <w:tc>
          <w:tcPr/>
          <w:p w:rsidR="00000000" w:rsidDel="00000000" w:rsidP="00000000" w:rsidRDefault="00000000" w:rsidRPr="00000000" w14:paraId="0000009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Признать целесообразным</w:t>
            </w:r>
          </w:p>
        </w:tc>
      </w:tr>
      <w:tr>
        <w:trPr>
          <w:cantSplit w:val="0"/>
          <w:tblHeader w:val="0"/>
        </w:trPr>
        <w:tc>
          <w:tcPr/>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учтено берегоукрепление р. Охта </w:t>
            </w:r>
          </w:p>
        </w:tc>
        <w:tc>
          <w:tcPr/>
          <w:p w:rsidR="00000000" w:rsidDel="00000000" w:rsidP="00000000" w:rsidRDefault="00000000" w:rsidRPr="00000000" w14:paraId="0000009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предусмотрены дополнительные остановочные пункты</w:t>
            </w:r>
          </w:p>
        </w:tc>
        <w:tc>
          <w:tcPr/>
          <w:p w:rsidR="00000000" w:rsidDel="00000000" w:rsidP="00000000" w:rsidRDefault="00000000" w:rsidRPr="00000000" w14:paraId="0000009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Признать целесообразным,</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рассмотреть возможность размещения дополнительных остановочных пунктов</w:t>
            </w:r>
          </w:p>
        </w:tc>
      </w:tr>
      <w:tr>
        <w:trPr>
          <w:cantSplit w:val="0"/>
          <w:tblHeader w:val="0"/>
        </w:trPr>
        <w:tc>
          <w:tcPr/>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учтены требования СП 165.1325800.2014 в части сопряжения с электродепо «Северное»</w:t>
            </w:r>
          </w:p>
        </w:tc>
        <w:tc>
          <w:tcPr/>
          <w:p w:rsidR="00000000" w:rsidDel="00000000" w:rsidP="00000000" w:rsidRDefault="00000000" w:rsidRPr="00000000" w14:paraId="000000A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рассмотреть возможность дополнить представленные материалы  сведениями в части учета требований </w:t>
            </w:r>
          </w:p>
          <w:p w:rsidR="00000000" w:rsidDel="00000000" w:rsidP="00000000" w:rsidRDefault="00000000" w:rsidRPr="00000000" w14:paraId="000000A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 165.1325800.2014</w:t>
            </w:r>
          </w:p>
        </w:tc>
      </w:tr>
      <w:tr>
        <w:trPr>
          <w:cantSplit w:val="0"/>
          <w:tblHeader w:val="0"/>
        </w:trPr>
        <w:tc>
          <w:tcPr/>
          <w:p w:rsidR="00000000" w:rsidDel="00000000" w:rsidP="00000000" w:rsidRDefault="00000000" w:rsidRPr="00000000" w14:paraId="000000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предусмотрено использование опор ЛЭП</w:t>
            </w:r>
          </w:p>
        </w:tc>
        <w:tc>
          <w:tcPr/>
          <w:p w:rsidR="00000000" w:rsidDel="00000000" w:rsidP="00000000" w:rsidRDefault="00000000" w:rsidRPr="00000000" w14:paraId="000000A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Доработать проектную документацию в части касающейся инфраструктуры РЖД: обустройство пешеходного перехода ж/д путей, освещения в границах РЖД</w:t>
            </w:r>
          </w:p>
        </w:tc>
        <w:tc>
          <w:tcPr/>
          <w:p w:rsidR="00000000" w:rsidDel="00000000" w:rsidP="00000000" w:rsidRDefault="00000000" w:rsidRPr="00000000" w14:paraId="000000A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три полосы движения с реверсивной полосой</w:t>
            </w:r>
          </w:p>
        </w:tc>
        <w:tc>
          <w:tcPr/>
          <w:p w:rsidR="00000000" w:rsidDel="00000000" w:rsidP="00000000" w:rsidRDefault="00000000" w:rsidRPr="00000000" w14:paraId="000000A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рассмотреть (проработать) возможность устройства три полосы движения с реверсивной полосой</w:t>
            </w:r>
          </w:p>
        </w:tc>
      </w:tr>
      <w:tr>
        <w:trPr>
          <w:cantSplit w:val="0"/>
          <w:tblHeader w:val="0"/>
        </w:trPr>
        <w:tc>
          <w:tcPr/>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мероприятия по шумоподавлению вблизи д. 55 по ул. Шоссе в Лаврики</w:t>
            </w:r>
          </w:p>
        </w:tc>
        <w:tc>
          <w:tcPr/>
          <w:p w:rsidR="00000000" w:rsidDel="00000000" w:rsidP="00000000" w:rsidRDefault="00000000" w:rsidRPr="00000000" w14:paraId="000000A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Создать рабочую группу с участием всех заявителей, направивших замечания/предложения по проекту планировки и проекту межевания территории для размещения линейного объекта реконструкции участка автомобильной дороги подъезд к деревне Лаврики</w:t>
            </w:r>
          </w:p>
        </w:tc>
        <w:tc>
          <w:tcPr/>
          <w:p w:rsidR="00000000" w:rsidDel="00000000" w:rsidP="00000000" w:rsidRDefault="00000000" w:rsidRPr="00000000" w14:paraId="000000B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Вернуть проект на доработку, откорректировать техническое задание на разработку</w:t>
            </w:r>
          </w:p>
        </w:tc>
        <w:tc>
          <w:tcPr/>
          <w:p w:rsidR="00000000" w:rsidDel="00000000" w:rsidP="00000000" w:rsidRDefault="00000000" w:rsidRPr="00000000" w14:paraId="000000B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Целесообразно признать в части направления проекта на доработку</w:t>
            </w:r>
          </w:p>
        </w:tc>
      </w:tr>
      <w:tr>
        <w:trPr>
          <w:cantSplit w:val="0"/>
          <w:tblHeader w:val="0"/>
        </w:trPr>
        <w:tc>
          <w:tcPr/>
          <w:p w:rsidR="00000000" w:rsidDel="00000000" w:rsidP="00000000" w:rsidRDefault="00000000" w:rsidRPr="00000000" w14:paraId="000000B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Избежать изъятия расположенных под многоквартирными домами земельных участков с кадастровыми номерами: 47:07:0722001:4615, 47:07:0722001:559, 47:07:0722001:131481, 47:07:0722001:2786, 47:07:0722001:71, 47:07:0722001:322</w:t>
            </w:r>
          </w:p>
        </w:tc>
        <w:tc>
          <w:tcPr/>
          <w:p w:rsidR="00000000" w:rsidDel="00000000" w:rsidP="00000000" w:rsidRDefault="00000000" w:rsidRPr="00000000" w14:paraId="000000B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Признать целесообразным </w:t>
            </w:r>
          </w:p>
        </w:tc>
      </w:tr>
      <w:tr>
        <w:trPr>
          <w:cantSplit w:val="0"/>
          <w:tblHeader w:val="0"/>
        </w:trPr>
        <w:tc>
          <w:tcPr/>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выезд из ЖК Мурино Space, ЖК Амурино, Торгового центра, ЖК Северный, ЖК Тридевяткино (между д. 83 и д.85, и между д.87 и д. 89)</w:t>
            </w:r>
          </w:p>
        </w:tc>
        <w:tc>
          <w:tcPr/>
          <w:p w:rsidR="00000000" w:rsidDel="00000000" w:rsidP="00000000" w:rsidRDefault="00000000" w:rsidRPr="00000000" w14:paraId="000000B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пешеходный переход от ЖК Муринский Посад к ЖК Тридевяткино</w:t>
            </w:r>
          </w:p>
        </w:tc>
        <w:tc>
          <w:tcPr/>
          <w:p w:rsidR="00000000" w:rsidDel="00000000" w:rsidP="00000000" w:rsidRDefault="00000000" w:rsidRPr="00000000" w14:paraId="000000B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рассмотреть (проработать) возможность устройства пешеходного перехода</w:t>
            </w:r>
          </w:p>
        </w:tc>
      </w:tr>
      <w:tr>
        <w:trPr>
          <w:cantSplit w:val="0"/>
          <w:tblHeader w:val="0"/>
        </w:trPr>
        <w:tc>
          <w:tcPr/>
          <w:p w:rsidR="00000000" w:rsidDel="00000000" w:rsidP="00000000" w:rsidRDefault="00000000" w:rsidRPr="00000000" w14:paraId="000000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расширение ж/д переезда</w:t>
            </w:r>
          </w:p>
        </w:tc>
        <w:tc>
          <w:tcPr/>
          <w:p w:rsidR="00000000" w:rsidDel="00000000" w:rsidP="00000000" w:rsidRDefault="00000000" w:rsidRPr="00000000" w14:paraId="000000C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реконструкцию моста через Лесной ручей</w:t>
            </w:r>
          </w:p>
        </w:tc>
        <w:tc>
          <w:tcPr/>
          <w:p w:rsidR="00000000" w:rsidDel="00000000" w:rsidP="00000000" w:rsidRDefault="00000000" w:rsidRPr="00000000" w14:paraId="000000C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Рекомендовать проектной организации рассмотреть (проработать) возможность реконструкции моста через Лесной ручей</w:t>
            </w:r>
          </w:p>
        </w:tc>
      </w:tr>
      <w:tr>
        <w:trPr>
          <w:cantSplit w:val="0"/>
          <w:tblHeader w:val="0"/>
        </w:trPr>
        <w:tc>
          <w:tcPr/>
          <w:p w:rsidR="00000000" w:rsidDel="00000000" w:rsidP="00000000" w:rsidRDefault="00000000" w:rsidRPr="00000000" w14:paraId="000000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левый поворот к электродепо «Северное»</w:t>
            </w:r>
          </w:p>
        </w:tc>
        <w:tc>
          <w:tcPr/>
          <w:p w:rsidR="00000000" w:rsidDel="00000000" w:rsidP="00000000" w:rsidRDefault="00000000" w:rsidRPr="00000000" w14:paraId="000000C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r>
        <w:trPr>
          <w:cantSplit w:val="0"/>
          <w:tblHeader w:val="0"/>
        </w:trPr>
        <w:tc>
          <w:tcPr/>
          <w:p w:rsidR="00000000" w:rsidDel="00000000" w:rsidP="00000000" w:rsidRDefault="00000000" w:rsidRPr="00000000" w14:paraId="000000C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Предусмотреть разделение потоков и упразднение пешеходного перехода на мосту</w:t>
            </w:r>
          </w:p>
        </w:tc>
        <w:tc>
          <w:tcPr/>
          <w:p w:rsidR="00000000" w:rsidDel="00000000" w:rsidP="00000000" w:rsidRDefault="00000000" w:rsidRPr="00000000" w14:paraId="000000C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относится к предмету публичных слушаний</w:t>
            </w:r>
          </w:p>
        </w:tc>
      </w:tr>
    </w:tbl>
    <w:p w:rsidR="00000000" w:rsidDel="00000000" w:rsidP="00000000" w:rsidRDefault="00000000" w:rsidRPr="00000000" w14:paraId="000000CB">
      <w:pPr>
        <w:spacing w:after="0" w:line="240" w:lineRule="auto"/>
        <w:jc w:val="both"/>
        <w:rPr/>
      </w:pPr>
      <w:r w:rsidDel="00000000" w:rsidR="00000000" w:rsidRPr="00000000">
        <w:rPr>
          <w:rtl w:val="0"/>
        </w:rPr>
      </w:r>
    </w:p>
    <w:sectPr>
      <w:type w:val="nextPage"/>
      <w:pgSz w:h="11906" w:w="16838" w:orient="landscape"/>
      <w:pgMar w:bottom="851" w:top="851" w:left="851" w:right="851"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XO Tha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C">
    <w:pPr>
      <w:pBdr>
        <w:left w:color="4f81bd" w:space="11" w:sz="12" w:val="single"/>
      </w:pBdr>
      <w:tabs>
        <w:tab w:val="left" w:leader="none" w:pos="622"/>
      </w:tabs>
      <w:spacing w:after="0" w:lineRule="auto"/>
      <w:rPr>
        <w:rFonts w:ascii="Cambria" w:cs="Cambria" w:eastAsia="Cambria" w:hAnsi="Cambria"/>
        <w:color w:val="366091"/>
        <w:sz w:val="26"/>
        <w:szCs w:val="26"/>
      </w:rPr>
    </w:pPr>
    <w:r w:rsidDel="00000000" w:rsidR="00000000" w:rsidRPr="00000000">
      <w:rPr>
        <w:rFonts w:ascii="Cambria" w:cs="Cambria" w:eastAsia="Cambria" w:hAnsi="Cambria"/>
        <w:color w:val="366091"/>
        <w:sz w:val="26"/>
        <w:szCs w:val="2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pBdr>
        <w:left w:color="4f81bd" w:space="11" w:sz="12" w:val="single"/>
      </w:pBdr>
      <w:tabs>
        <w:tab w:val="left" w:leader="none" w:pos="622"/>
      </w:tabs>
      <w:spacing w:after="0" w:lineRule="auto"/>
      <w:rPr>
        <w:rFonts w:ascii="Cambria" w:cs="Cambria" w:eastAsia="Cambria" w:hAnsi="Cambria"/>
        <w:color w:val="366091"/>
        <w:sz w:val="26"/>
        <w:szCs w:val="26"/>
      </w:rPr>
    </w:pPr>
    <w:r w:rsidDel="00000000" w:rsidR="00000000" w:rsidRPr="00000000">
      <w:rPr>
        <w:rFonts w:ascii="Cambria" w:cs="Cambria" w:eastAsia="Cambria" w:hAnsi="Cambria"/>
        <w:color w:val="366091"/>
        <w:sz w:val="26"/>
        <w:szCs w:val="2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pPr>
    <w:rPr>
      <w:rFonts w:ascii="XO Thames" w:cs="XO Thames" w:eastAsia="XO Thames" w:hAnsi="XO Thames"/>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pPr>
    <w:rPr>
      <w:rFonts w:ascii="XO Thames" w:cs="XO Thames" w:eastAsia="XO Thames" w:hAnsi="XO Thames"/>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pPr>
    <w:rPr>
      <w:rFonts w:ascii="XO Thames" w:cs="XO Thames" w:eastAsia="XO Thames" w:hAnsi="XO Thames"/>
      <w:b w:val="1"/>
      <w:bCs w:val="1"/>
      <w:i w:val="0"/>
      <w:iCs w:val="0"/>
      <w:smallCaps w:val="0"/>
      <w:strike w:val="0"/>
      <w:color w:val="000000"/>
      <w:sz w:val="26"/>
      <w:szCs w:val="26"/>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pPr>
    <w:rPr>
      <w:rFonts w:ascii="XO Thames" w:cs="XO Thames" w:eastAsia="XO Thames" w:hAnsi="XO Thames"/>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pPr>
    <w:rPr>
      <w:rFonts w:ascii="XO Thames" w:cs="XO Thames" w:eastAsia="XO Thames" w:hAnsi="XO Thames"/>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567" w:before="567" w:line="276" w:lineRule="auto"/>
      <w:ind w:left="0" w:right="0" w:firstLine="0"/>
      <w:jc w:val="center"/>
    </w:pPr>
    <w:rPr>
      <w:rFonts w:ascii="XO Thames" w:cs="XO Thames" w:eastAsia="XO Thames" w:hAnsi="XO Thames"/>
      <w:b w:val="1"/>
      <w:bCs w:val="1"/>
      <w:i w:val="0"/>
      <w:iCs w:val="0"/>
      <w:smallCaps w:val="1"/>
      <w:strike w:val="0"/>
      <w:color w:val="000000"/>
      <w:sz w:val="40"/>
      <w:szCs w:val="40"/>
      <w:u w:val="none"/>
      <w:shd w:fill="auto" w:val="clear"/>
      <w:vertAlign w:val="baseline"/>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 w:customStyle="1">
    <w:name w:val="Обычный1"/>
  </w:style>
  <w:style w:type="paragraph" w:styleId="a3">
    <w:name w:val="footer"/>
    <w:basedOn w:val="a"/>
    <w:link w:val="a4"/>
    <w:pPr>
      <w:tabs>
        <w:tab w:val="center" w:pos="4677"/>
        <w:tab w:val="right" w:pos="9355"/>
      </w:tabs>
      <w:spacing w:after="0" w:line="240" w:lineRule="auto"/>
    </w:pPr>
  </w:style>
  <w:style w:type="character" w:styleId="a4" w:customStyle="1">
    <w:name w:val="Нижний колонтитул Знак"/>
    <w:basedOn w:val="1"/>
    <w:link w:val="a3"/>
  </w:style>
  <w:style w:type="paragraph" w:styleId="21">
    <w:name w:val="toc 2"/>
    <w:next w:val="a"/>
    <w:link w:val="22"/>
    <w:uiPriority w:val="39"/>
    <w:pPr>
      <w:ind w:left="200"/>
    </w:pPr>
    <w:rPr>
      <w:rFonts w:ascii="XO Thames" w:hAnsi="XO Thames"/>
      <w:sz w:val="28"/>
    </w:rPr>
  </w:style>
  <w:style w:type="character" w:styleId="22" w:customStyle="1">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styleId="42" w:customStyle="1">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styleId="60" w:customStyle="1">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styleId="70" w:customStyle="1">
    <w:name w:val="Оглавление 7 Знак"/>
    <w:link w:val="7"/>
    <w:rPr>
      <w:rFonts w:ascii="XO Thames" w:hAnsi="XO Thames"/>
      <w:sz w:val="28"/>
    </w:rPr>
  </w:style>
  <w:style w:type="paragraph" w:styleId="Endnote" w:customStyle="1">
    <w:name w:val="Endnote"/>
    <w:link w:val="Endnote0"/>
    <w:pPr>
      <w:ind w:firstLine="851"/>
      <w:jc w:val="both"/>
    </w:pPr>
    <w:rPr>
      <w:rFonts w:ascii="XO Thames" w:hAnsi="XO Thames"/>
    </w:rPr>
  </w:style>
  <w:style w:type="character" w:styleId="Endnote0" w:customStyle="1">
    <w:name w:val="Endnote"/>
    <w:link w:val="Endnote"/>
    <w:rPr>
      <w:rFonts w:ascii="XO Thames" w:hAnsi="XO Thames"/>
      <w:sz w:val="22"/>
    </w:rPr>
  </w:style>
  <w:style w:type="character" w:styleId="30" w:customStyle="1">
    <w:name w:val="Заголовок 3 Знак"/>
    <w:link w:val="3"/>
    <w:rPr>
      <w:rFonts w:ascii="XO Thames" w:hAnsi="XO Thames"/>
      <w:b w:val="1"/>
      <w:sz w:val="26"/>
    </w:rPr>
  </w:style>
  <w:style w:type="paragraph" w:styleId="12" w:customStyle="1">
    <w:name w:val="Основной шрифт абзаца1"/>
  </w:style>
  <w:style w:type="paragraph" w:styleId="31">
    <w:name w:val="toc 3"/>
    <w:next w:val="a"/>
    <w:link w:val="32"/>
    <w:uiPriority w:val="39"/>
    <w:pPr>
      <w:ind w:left="400"/>
    </w:pPr>
    <w:rPr>
      <w:rFonts w:ascii="XO Thames" w:hAnsi="XO Thames"/>
      <w:sz w:val="28"/>
    </w:rPr>
  </w:style>
  <w:style w:type="character" w:styleId="32" w:customStyle="1">
    <w:name w:val="Оглавление 3 Знак"/>
    <w:link w:val="31"/>
    <w:rPr>
      <w:rFonts w:ascii="XO Thames" w:hAnsi="XO Thames"/>
      <w:sz w:val="28"/>
    </w:rPr>
  </w:style>
  <w:style w:type="paragraph" w:styleId="a5">
    <w:name w:val="header"/>
    <w:basedOn w:val="a"/>
    <w:link w:val="a6"/>
    <w:pPr>
      <w:tabs>
        <w:tab w:val="center" w:pos="4677"/>
        <w:tab w:val="right" w:pos="9355"/>
      </w:tabs>
      <w:spacing w:after="0" w:line="240" w:lineRule="auto"/>
    </w:pPr>
  </w:style>
  <w:style w:type="character" w:styleId="a6" w:customStyle="1">
    <w:name w:val="Верхний колонтитул Знак"/>
    <w:basedOn w:val="1"/>
    <w:link w:val="a5"/>
  </w:style>
  <w:style w:type="paragraph" w:styleId="a7">
    <w:name w:val="Balloon Text"/>
    <w:basedOn w:val="a"/>
    <w:link w:val="a8"/>
    <w:pPr>
      <w:spacing w:after="0" w:line="240" w:lineRule="auto"/>
    </w:pPr>
    <w:rPr>
      <w:rFonts w:ascii="Tahoma" w:hAnsi="Tahoma"/>
      <w:sz w:val="16"/>
    </w:rPr>
  </w:style>
  <w:style w:type="character" w:styleId="a8" w:customStyle="1">
    <w:name w:val="Текст выноски Знак"/>
    <w:basedOn w:val="1"/>
    <w:link w:val="a7"/>
    <w:rPr>
      <w:rFonts w:ascii="Tahoma" w:hAnsi="Tahoma"/>
      <w:sz w:val="16"/>
    </w:rPr>
  </w:style>
  <w:style w:type="character" w:styleId="50" w:customStyle="1">
    <w:name w:val="Заголовок 5 Знак"/>
    <w:link w:val="5"/>
    <w:rPr>
      <w:rFonts w:ascii="XO Thames" w:hAnsi="XO Thames"/>
      <w:b w:val="1"/>
      <w:sz w:val="22"/>
    </w:rPr>
  </w:style>
  <w:style w:type="character" w:styleId="11" w:customStyle="1">
    <w:name w:val="Заголовок 1 Знак"/>
    <w:link w:val="10"/>
    <w:rPr>
      <w:rFonts w:ascii="XO Thames" w:hAnsi="XO Thames"/>
      <w:b w:val="1"/>
      <w:sz w:val="32"/>
    </w:rPr>
  </w:style>
  <w:style w:type="paragraph" w:styleId="13" w:customStyle="1">
    <w:name w:val="Гиперссылка1"/>
    <w:link w:val="a9"/>
    <w:rPr>
      <w:color w:val="0000ff"/>
      <w:u w:val="single"/>
    </w:rPr>
  </w:style>
  <w:style w:type="character" w:styleId="a9">
    <w:name w:val="Hyperlink"/>
    <w:link w:val="13"/>
    <w:rPr>
      <w:color w:val="0000ff"/>
      <w:u w:val="single"/>
    </w:rPr>
  </w:style>
  <w:style w:type="paragraph" w:styleId="Footnote" w:customStyle="1">
    <w:name w:val="Footnote"/>
    <w:link w:val="Footnote0"/>
    <w:pPr>
      <w:ind w:firstLine="851"/>
      <w:jc w:val="both"/>
    </w:pPr>
    <w:rPr>
      <w:rFonts w:ascii="XO Thames" w:hAnsi="XO Thames"/>
    </w:rPr>
  </w:style>
  <w:style w:type="character" w:styleId="Footnote0" w:customStyle="1">
    <w:name w:val="Footnote"/>
    <w:link w:val="Footnote"/>
    <w:rPr>
      <w:rFonts w:ascii="XO Thames" w:hAnsi="XO Thames"/>
      <w:sz w:val="22"/>
    </w:rPr>
  </w:style>
  <w:style w:type="paragraph" w:styleId="14">
    <w:name w:val="toc 1"/>
    <w:next w:val="a"/>
    <w:link w:val="15"/>
    <w:uiPriority w:val="39"/>
    <w:rPr>
      <w:rFonts w:ascii="XO Thames" w:hAnsi="XO Thames"/>
      <w:b w:val="1"/>
      <w:sz w:val="28"/>
    </w:rPr>
  </w:style>
  <w:style w:type="character" w:styleId="15" w:customStyle="1">
    <w:name w:val="Оглавление 1 Знак"/>
    <w:link w:val="14"/>
    <w:rPr>
      <w:rFonts w:ascii="XO Thames" w:hAnsi="XO Thames"/>
      <w:b w:val="1"/>
      <w:sz w:val="28"/>
    </w:rPr>
  </w:style>
  <w:style w:type="paragraph" w:styleId="aa">
    <w:name w:val="List Paragraph"/>
    <w:basedOn w:val="a"/>
    <w:link w:val="ab"/>
    <w:pPr>
      <w:ind w:left="720"/>
      <w:contextualSpacing w:val="1"/>
    </w:pPr>
  </w:style>
  <w:style w:type="character" w:styleId="ab" w:customStyle="1">
    <w:name w:val="Абзац списка Знак"/>
    <w:basedOn w:val="1"/>
    <w:link w:val="aa"/>
  </w:style>
  <w:style w:type="paragraph" w:styleId="HeaderandFooter" w:customStyle="1">
    <w:name w:val="Header and Footer"/>
    <w:link w:val="HeaderandFooter0"/>
    <w:pPr>
      <w:spacing w:line="240" w:lineRule="auto"/>
      <w:jc w:val="both"/>
    </w:pPr>
    <w:rPr>
      <w:rFonts w:ascii="XO Thames" w:hAnsi="XO Thames"/>
      <w:sz w:val="28"/>
    </w:rPr>
  </w:style>
  <w:style w:type="character" w:styleId="HeaderandFooter0" w:customStyle="1">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styleId="90" w:customStyle="1">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styleId="80" w:customStyle="1">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styleId="52" w:customStyle="1">
    <w:name w:val="Оглавление 5 Знак"/>
    <w:link w:val="51"/>
    <w:rPr>
      <w:rFonts w:ascii="XO Thames" w:hAnsi="XO Thames"/>
      <w:sz w:val="28"/>
    </w:rPr>
  </w:style>
  <w:style w:type="character" w:styleId="ad" w:customStyle="1">
    <w:name w:val="Подзаголовок Знак"/>
    <w:link w:val="ac"/>
    <w:rPr>
      <w:rFonts w:ascii="XO Thames" w:hAnsi="XO Thames"/>
      <w:i w:val="1"/>
      <w:sz w:val="24"/>
    </w:rPr>
  </w:style>
  <w:style w:type="character" w:styleId="af" w:customStyle="1">
    <w:name w:val="Заголовок Знак"/>
    <w:link w:val="ae"/>
    <w:rPr>
      <w:rFonts w:ascii="XO Thames" w:hAnsi="XO Thames"/>
      <w:b w:val="1"/>
      <w:caps w:val="1"/>
      <w:sz w:val="40"/>
    </w:rPr>
  </w:style>
  <w:style w:type="character" w:styleId="40" w:customStyle="1">
    <w:name w:val="Заголовок 4 Знак"/>
    <w:link w:val="4"/>
    <w:rPr>
      <w:rFonts w:ascii="XO Thames" w:hAnsi="XO Thames"/>
      <w:b w:val="1"/>
      <w:sz w:val="24"/>
    </w:rPr>
  </w:style>
  <w:style w:type="character" w:styleId="20" w:customStyle="1">
    <w:name w:val="Заголовок 2 Знак"/>
    <w:link w:val="2"/>
    <w:rPr>
      <w:rFonts w:ascii="XO Thames" w:hAnsi="XO Thames"/>
      <w:b w:val="1"/>
      <w:sz w:val="28"/>
    </w:rPr>
  </w:style>
  <w:style w:type="table" w:styleId="af0">
    <w:name w:val="Table Grid"/>
    <w:basedOn w:val="a1"/>
    <w:pPr>
      <w:spacing w:after="0" w:line="240" w:lineRule="auto"/>
    </w:p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pPr>
    <w:rPr>
      <w:rFonts w:ascii="XO Thames" w:cs="XO Thames" w:eastAsia="XO Thames" w:hAnsi="XO Thames"/>
      <w:b w:val="0"/>
      <w:bCs w:val="0"/>
      <w:i w:val="1"/>
      <w:iCs w:val="1"/>
      <w:smallCaps w:val="0"/>
      <w:strike w:val="0"/>
      <w:color w:val="000000"/>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28.0" w:type="dxa"/>
        <w:bottom w:w="0.0" w:type="dxa"/>
        <w:right w:w="28.0" w:type="dxa"/>
      </w:tblCellMar>
    </w:tblPr>
  </w:style>
  <w:style w:type="table" w:styleId="Table2">
    <w:basedOn w:val="TableNormal"/>
    <w:pPr>
      <w:spacing w:after="0" w:line="240" w:lineRule="auto"/>
    </w:pPr>
    <w:tblPr>
      <w:tblStyleRowBandSize w:val="1"/>
      <w:tblStyleColBandSize w:val="1"/>
      <w:tblCellMar>
        <w:top w:w="0.0" w:type="dxa"/>
        <w:left w:w="28.0" w:type="dxa"/>
        <w:bottom w:w="0.0" w:type="dxa"/>
        <w:right w:w="2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jT5R+xy9xDCF+tFqMpIrIMFGNQ==">CgMxLjAyDmguc2xxbGMzOXkxcXBoMg5oLmRrd2UxMXczc3owczgAciExODYtY19kd3Exc01lTzRrS2J1dXBMSjB5bGJEV3p2dnE=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2025-11-25T14:29:00Z</dcterms:created>
</cp:coreProperties>
</file>